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A3CB" w14:textId="77777777" w:rsidR="00C84416" w:rsidRDefault="00C84416" w:rsidP="00F51BEA"/>
    <w:p w14:paraId="69743530" w14:textId="201FC670" w:rsidR="00C84416" w:rsidRDefault="00457AA1" w:rsidP="00C84416">
      <w:pPr>
        <w:ind w:left="360"/>
      </w:pPr>
      <w:r>
        <w:pict w14:anchorId="6CC24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5pt;height:94.05pt">
            <v:imagedata r:id="rId8" o:title="SFBRAlogo_FINAL"/>
          </v:shape>
        </w:pict>
      </w:r>
    </w:p>
    <w:p w14:paraId="15364380" w14:textId="77777777" w:rsidR="00C84416" w:rsidRDefault="00C84416" w:rsidP="00C84416">
      <w:pPr>
        <w:spacing w:after="0"/>
        <w:ind w:left="360"/>
        <w:jc w:val="center"/>
        <w:rPr>
          <w:rFonts w:ascii="Times New Roman" w:hAnsi="Times New Roman" w:cs="Times New Roman"/>
          <w:b/>
          <w:sz w:val="40"/>
        </w:rPr>
      </w:pPr>
    </w:p>
    <w:p w14:paraId="6EFC5BC7" w14:textId="3DC6F874" w:rsidR="00C84416" w:rsidRPr="00C84416" w:rsidRDefault="00C84416" w:rsidP="00C84416">
      <w:pPr>
        <w:spacing w:after="0"/>
        <w:ind w:left="360"/>
        <w:jc w:val="center"/>
        <w:rPr>
          <w:rFonts w:ascii="Times New Roman" w:hAnsi="Times New Roman" w:cs="Times New Roman"/>
          <w:b/>
          <w:sz w:val="40"/>
        </w:rPr>
      </w:pPr>
      <w:r w:rsidRPr="00C84416">
        <w:rPr>
          <w:rFonts w:ascii="Times New Roman" w:hAnsi="Times New Roman" w:cs="Times New Roman"/>
          <w:b/>
          <w:sz w:val="40"/>
        </w:rPr>
        <w:t>Grant Round 1: Frequently Asked Questions</w:t>
      </w:r>
    </w:p>
    <w:p w14:paraId="0FE3F480" w14:textId="08814B0C" w:rsidR="00C84416" w:rsidRPr="006A67EF" w:rsidRDefault="00C84416" w:rsidP="00C84416">
      <w:pPr>
        <w:ind w:left="360"/>
        <w:rPr>
          <w:rFonts w:ascii="Times New Roman" w:hAnsi="Times New Roman" w:cs="Times New Roman"/>
          <w:b/>
        </w:rPr>
      </w:pPr>
    </w:p>
    <w:p w14:paraId="72A512BF" w14:textId="2A295D10" w:rsidR="006311AC" w:rsidRPr="006A67EF" w:rsidRDefault="006311AC" w:rsidP="00F51BEA">
      <w:pPr>
        <w:pStyle w:val="ListParagraph"/>
        <w:numPr>
          <w:ilvl w:val="0"/>
          <w:numId w:val="4"/>
        </w:numPr>
        <w:rPr>
          <w:rFonts w:ascii="Times New Roman" w:hAnsi="Times New Roman" w:cs="Times New Roman"/>
          <w:b/>
        </w:rPr>
      </w:pPr>
      <w:r w:rsidRPr="006A67EF">
        <w:rPr>
          <w:rFonts w:ascii="Times New Roman" w:hAnsi="Times New Roman" w:cs="Times New Roman"/>
          <w:b/>
        </w:rPr>
        <w:t xml:space="preserve">What is an eligible project location? </w:t>
      </w:r>
    </w:p>
    <w:p w14:paraId="56B9448A" w14:textId="71828B21" w:rsidR="00C84416" w:rsidRDefault="00C84416" w:rsidP="00F51BEA">
      <w:pPr>
        <w:pStyle w:val="ListParagraph"/>
        <w:numPr>
          <w:ilvl w:val="1"/>
          <w:numId w:val="4"/>
        </w:numPr>
        <w:rPr>
          <w:rFonts w:ascii="Times New Roman" w:hAnsi="Times New Roman" w:cs="Times New Roman"/>
        </w:rPr>
      </w:pPr>
      <w:r>
        <w:rPr>
          <w:rFonts w:ascii="Times New Roman" w:hAnsi="Times New Roman" w:cs="Times New Roman"/>
        </w:rPr>
        <w:t xml:space="preserve">To be eligible, projects must be located within the nine Bay Area counties along the shorelines of San Francisco Bay, San Pablo Bay, </w:t>
      </w:r>
      <w:proofErr w:type="spellStart"/>
      <w:r>
        <w:rPr>
          <w:rFonts w:ascii="Times New Roman" w:hAnsi="Times New Roman" w:cs="Times New Roman"/>
        </w:rPr>
        <w:t>Carquinez</w:t>
      </w:r>
      <w:proofErr w:type="spellEnd"/>
      <w:r>
        <w:rPr>
          <w:rFonts w:ascii="Times New Roman" w:hAnsi="Times New Roman" w:cs="Times New Roman"/>
        </w:rPr>
        <w:t xml:space="preserve"> Strait, Suisun Bay, and most of the Northern Contra Costa County Shoreline to the edge of, but not including, the Delta Primary Zone, that are in areas consistent with guidance provided in the </w:t>
      </w:r>
      <w:hyperlink r:id="rId9" w:history="1">
        <w:proofErr w:type="spellStart"/>
        <w:r w:rsidRPr="006A67EF">
          <w:rPr>
            <w:rStyle w:val="Hyperlink"/>
            <w:rFonts w:ascii="Times New Roman" w:hAnsi="Times New Roman" w:cs="Times New Roman"/>
            <w:i/>
          </w:rPr>
          <w:t>Baylands</w:t>
        </w:r>
        <w:proofErr w:type="spellEnd"/>
        <w:r w:rsidRPr="006A67EF">
          <w:rPr>
            <w:rStyle w:val="Hyperlink"/>
            <w:rFonts w:ascii="Times New Roman" w:hAnsi="Times New Roman" w:cs="Times New Roman"/>
            <w:i/>
          </w:rPr>
          <w:t xml:space="preserve"> Ecosystem Habitat Goals Science Update</w:t>
        </w:r>
      </w:hyperlink>
      <w:r w:rsidRPr="006A67EF">
        <w:rPr>
          <w:rFonts w:ascii="Times New Roman" w:hAnsi="Times New Roman" w:cs="Times New Roman"/>
          <w:i/>
        </w:rPr>
        <w:t xml:space="preserve"> </w:t>
      </w:r>
      <w:r w:rsidRPr="006A67EF">
        <w:rPr>
          <w:rFonts w:ascii="Times New Roman" w:hAnsi="Times New Roman" w:cs="Times New Roman"/>
        </w:rPr>
        <w:t xml:space="preserve">(2015) </w:t>
      </w:r>
      <w:r>
        <w:rPr>
          <w:rFonts w:ascii="Times New Roman" w:hAnsi="Times New Roman" w:cs="Times New Roman"/>
        </w:rPr>
        <w:t xml:space="preserve">and </w:t>
      </w:r>
      <w:hyperlink r:id="rId10" w:history="1">
        <w:r w:rsidRPr="006A67EF">
          <w:rPr>
            <w:rStyle w:val="Hyperlink"/>
            <w:rFonts w:ascii="Times New Roman" w:hAnsi="Times New Roman" w:cs="Times New Roman"/>
            <w:i/>
          </w:rPr>
          <w:t>Subtidal Habitat Goals Report</w:t>
        </w:r>
      </w:hyperlink>
      <w:r w:rsidRPr="006A67EF">
        <w:rPr>
          <w:rFonts w:ascii="Times New Roman" w:hAnsi="Times New Roman" w:cs="Times New Roman"/>
          <w:i/>
        </w:rPr>
        <w:t xml:space="preserve"> </w:t>
      </w:r>
      <w:r>
        <w:rPr>
          <w:rFonts w:ascii="Times New Roman" w:hAnsi="Times New Roman" w:cs="Times New Roman"/>
        </w:rPr>
        <w:t>(2010), including:</w:t>
      </w:r>
    </w:p>
    <w:p w14:paraId="483CD5BE" w14:textId="548CAB27" w:rsidR="00C84416" w:rsidRDefault="00C84416" w:rsidP="00C84416">
      <w:pPr>
        <w:pStyle w:val="ListParagraph"/>
        <w:numPr>
          <w:ilvl w:val="2"/>
          <w:numId w:val="4"/>
        </w:numPr>
        <w:rPr>
          <w:rFonts w:ascii="Times New Roman" w:hAnsi="Times New Roman" w:cs="Times New Roman"/>
        </w:rPr>
      </w:pPr>
      <w:r>
        <w:rPr>
          <w:rFonts w:ascii="Times New Roman" w:hAnsi="Times New Roman" w:cs="Times New Roman"/>
        </w:rPr>
        <w:t xml:space="preserve">In subtidal areas (lying below mean low tide), within a reasonable distance of the shoreline; </w:t>
      </w:r>
      <w:r w:rsidR="003B5B6F">
        <w:rPr>
          <w:rFonts w:ascii="Times New Roman" w:hAnsi="Times New Roman" w:cs="Times New Roman"/>
        </w:rPr>
        <w:t>or</w:t>
      </w:r>
    </w:p>
    <w:p w14:paraId="0D55CF6A" w14:textId="51C6266D" w:rsidR="00C84416" w:rsidRDefault="00C84416" w:rsidP="00C84416">
      <w:pPr>
        <w:pStyle w:val="ListParagraph"/>
        <w:numPr>
          <w:ilvl w:val="2"/>
          <w:numId w:val="4"/>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baylands</w:t>
      </w:r>
      <w:proofErr w:type="spellEnd"/>
      <w:r>
        <w:rPr>
          <w:rFonts w:ascii="Times New Roman" w:hAnsi="Times New Roman" w:cs="Times New Roman"/>
        </w:rPr>
        <w:t xml:space="preserve">, i.e., areas that lie between the maximum and minimum elevations of the tides over multiyear cycles, including those areas that would be covered by the tides in the absence of levees or other unnatural structures, including the portion of creeks or rivers located below the head of tide; or </w:t>
      </w:r>
    </w:p>
    <w:p w14:paraId="39BCF917" w14:textId="70B00C13" w:rsidR="00C84416" w:rsidRDefault="00C84416" w:rsidP="00C84416">
      <w:pPr>
        <w:pStyle w:val="ListParagraph"/>
        <w:numPr>
          <w:ilvl w:val="2"/>
          <w:numId w:val="4"/>
        </w:numPr>
        <w:rPr>
          <w:rFonts w:ascii="Times New Roman" w:hAnsi="Times New Roman" w:cs="Times New Roman"/>
        </w:rPr>
      </w:pPr>
      <w:r>
        <w:rPr>
          <w:rFonts w:ascii="Times New Roman" w:hAnsi="Times New Roman" w:cs="Times New Roman"/>
        </w:rPr>
        <w:t xml:space="preserve">On uplands adjacent to potential or other unnatural structures, including the portion of creeks or rivers located below the head of tide; or </w:t>
      </w:r>
    </w:p>
    <w:p w14:paraId="2CCC1EA1" w14:textId="1F51DD5F" w:rsidR="00C84416" w:rsidRDefault="00C84416" w:rsidP="00C84416">
      <w:pPr>
        <w:pStyle w:val="ListParagraph"/>
        <w:numPr>
          <w:ilvl w:val="2"/>
          <w:numId w:val="4"/>
        </w:numPr>
        <w:rPr>
          <w:rFonts w:ascii="Times New Roman" w:hAnsi="Times New Roman" w:cs="Times New Roman"/>
        </w:rPr>
      </w:pPr>
      <w:r>
        <w:rPr>
          <w:rFonts w:ascii="Times New Roman" w:hAnsi="Times New Roman" w:cs="Times New Roman"/>
        </w:rPr>
        <w:t xml:space="preserve">On uplands adjacent to potential or actual tidal wetlands that can provide transitional habitat and/or marsh migration space, as well as areas that are needed to enhance the project’s resilience to projected sea level rise. </w:t>
      </w:r>
      <w:bookmarkStart w:id="0" w:name="_GoBack"/>
      <w:bookmarkEnd w:id="0"/>
    </w:p>
    <w:p w14:paraId="2062579F" w14:textId="59186DBE" w:rsidR="00C84416" w:rsidRDefault="00C84416" w:rsidP="00F51BEA">
      <w:pPr>
        <w:pStyle w:val="ListParagraph"/>
        <w:numPr>
          <w:ilvl w:val="1"/>
          <w:numId w:val="4"/>
        </w:numPr>
        <w:rPr>
          <w:rFonts w:ascii="Times New Roman" w:hAnsi="Times New Roman" w:cs="Times New Roman"/>
        </w:rPr>
      </w:pPr>
      <w:r>
        <w:rPr>
          <w:rFonts w:ascii="Times New Roman" w:hAnsi="Times New Roman" w:cs="Times New Roman"/>
        </w:rPr>
        <w:t xml:space="preserve">For more information, and the definition of “Along the Bay Shorelines” and “Creek Outlets,” please see Appendix B of the Restoration Authority’s </w:t>
      </w:r>
      <w:r w:rsidRPr="00BB4D37">
        <w:rPr>
          <w:rFonts w:ascii="Times New Roman" w:hAnsi="Times New Roman" w:cs="Times New Roman"/>
        </w:rPr>
        <w:t>Grant Program Guidelines</w:t>
      </w:r>
      <w:r>
        <w:rPr>
          <w:rFonts w:ascii="Times New Roman" w:hAnsi="Times New Roman" w:cs="Times New Roman"/>
        </w:rPr>
        <w:t xml:space="preserve">. </w:t>
      </w:r>
    </w:p>
    <w:p w14:paraId="41CD14C2" w14:textId="0A58EC2D" w:rsidR="002A35FD" w:rsidRPr="00C84416" w:rsidRDefault="003B5B6F" w:rsidP="00F51BEA">
      <w:pPr>
        <w:pStyle w:val="ListParagraph"/>
        <w:numPr>
          <w:ilvl w:val="1"/>
          <w:numId w:val="4"/>
        </w:numPr>
        <w:rPr>
          <w:rFonts w:ascii="Times New Roman" w:hAnsi="Times New Roman" w:cs="Times New Roman"/>
        </w:rPr>
      </w:pPr>
      <w:r>
        <w:rPr>
          <w:rFonts w:ascii="Times New Roman" w:hAnsi="Times New Roman" w:cs="Times New Roman"/>
        </w:rPr>
        <w:t>R</w:t>
      </w:r>
      <w:r w:rsidR="006311AC" w:rsidRPr="00C84416">
        <w:rPr>
          <w:rFonts w:ascii="Times New Roman" w:hAnsi="Times New Roman" w:cs="Times New Roman"/>
        </w:rPr>
        <w:t>eference Appendix B of Grant Guidelines</w:t>
      </w:r>
    </w:p>
    <w:p w14:paraId="213C6B74" w14:textId="77777777" w:rsidR="006A67EF" w:rsidRPr="00DC26BA" w:rsidRDefault="00F51BEA" w:rsidP="00C84416">
      <w:pPr>
        <w:pStyle w:val="ListParagraph"/>
        <w:numPr>
          <w:ilvl w:val="0"/>
          <w:numId w:val="4"/>
        </w:numPr>
        <w:rPr>
          <w:rFonts w:ascii="Times New Roman" w:hAnsi="Times New Roman" w:cs="Times New Roman"/>
          <w:b/>
        </w:rPr>
      </w:pPr>
      <w:r w:rsidRPr="00DC26BA">
        <w:rPr>
          <w:rFonts w:ascii="Times New Roman" w:hAnsi="Times New Roman" w:cs="Times New Roman"/>
          <w:b/>
        </w:rPr>
        <w:t>I</w:t>
      </w:r>
      <w:r w:rsidR="006A67EF" w:rsidRPr="00DC26BA">
        <w:rPr>
          <w:rFonts w:ascii="Times New Roman" w:hAnsi="Times New Roman" w:cs="Times New Roman"/>
          <w:b/>
        </w:rPr>
        <w:t xml:space="preserve">s the geographic distribution of funds over the life of the Measure (20 years) or will the geographic distribution of funds be required for each grant round? </w:t>
      </w:r>
    </w:p>
    <w:p w14:paraId="59F75FF5" w14:textId="0194135D" w:rsidR="00F51BEA" w:rsidRDefault="006A67EF" w:rsidP="006A67EF">
      <w:pPr>
        <w:pStyle w:val="ListParagraph"/>
        <w:numPr>
          <w:ilvl w:val="1"/>
          <w:numId w:val="4"/>
        </w:numPr>
        <w:rPr>
          <w:rFonts w:ascii="Times New Roman" w:hAnsi="Times New Roman" w:cs="Times New Roman"/>
        </w:rPr>
      </w:pPr>
      <w:r>
        <w:rPr>
          <w:rFonts w:ascii="Times New Roman" w:hAnsi="Times New Roman" w:cs="Times New Roman"/>
        </w:rPr>
        <w:t>The geographic distribution of funds, included below, is over the life of the Measure (20 years). Thus, the minimum percentages, included below, shall be allocated to each of the four Bay Area regions over the 20 years of the Measure, and not necessarily for each grant year:</w:t>
      </w:r>
    </w:p>
    <w:p w14:paraId="28B77FEC" w14:textId="0F905B5F" w:rsidR="006A67EF" w:rsidRDefault="006A67EF" w:rsidP="006A67EF">
      <w:pPr>
        <w:pStyle w:val="ListParagraph"/>
        <w:numPr>
          <w:ilvl w:val="2"/>
          <w:numId w:val="4"/>
        </w:numPr>
        <w:rPr>
          <w:rFonts w:ascii="Times New Roman" w:hAnsi="Times New Roman" w:cs="Times New Roman"/>
        </w:rPr>
      </w:pPr>
      <w:r>
        <w:rPr>
          <w:rFonts w:ascii="Times New Roman" w:hAnsi="Times New Roman" w:cs="Times New Roman"/>
        </w:rPr>
        <w:t>North Bay (Sonoma, Marin, Napa, and Solano Counties): 9% minimum allocation;</w:t>
      </w:r>
    </w:p>
    <w:p w14:paraId="300DF6C0" w14:textId="2535F657" w:rsidR="006A67EF" w:rsidRDefault="006A67EF" w:rsidP="006A67EF">
      <w:pPr>
        <w:pStyle w:val="ListParagraph"/>
        <w:numPr>
          <w:ilvl w:val="2"/>
          <w:numId w:val="4"/>
        </w:numPr>
        <w:rPr>
          <w:rFonts w:ascii="Times New Roman" w:hAnsi="Times New Roman" w:cs="Times New Roman"/>
        </w:rPr>
      </w:pPr>
      <w:r>
        <w:rPr>
          <w:rFonts w:ascii="Times New Roman" w:hAnsi="Times New Roman" w:cs="Times New Roman"/>
        </w:rPr>
        <w:t>East Bay (Alameda and Contra Costa Counties): 18% minimum allocation;</w:t>
      </w:r>
    </w:p>
    <w:p w14:paraId="2238275F" w14:textId="72D73200" w:rsidR="006A67EF" w:rsidRDefault="006A67EF" w:rsidP="006A67EF">
      <w:pPr>
        <w:pStyle w:val="ListParagraph"/>
        <w:numPr>
          <w:ilvl w:val="2"/>
          <w:numId w:val="4"/>
        </w:numPr>
        <w:rPr>
          <w:rFonts w:ascii="Times New Roman" w:hAnsi="Times New Roman" w:cs="Times New Roman"/>
        </w:rPr>
      </w:pPr>
      <w:r>
        <w:rPr>
          <w:rFonts w:ascii="Times New Roman" w:hAnsi="Times New Roman" w:cs="Times New Roman"/>
        </w:rPr>
        <w:t xml:space="preserve">West Bay (City and County of San Francisco and San Mateo County): 11% minimum allocation; and </w:t>
      </w:r>
    </w:p>
    <w:p w14:paraId="44A61273" w14:textId="702A2F4E" w:rsidR="006A67EF" w:rsidRDefault="006A67EF" w:rsidP="006A67EF">
      <w:pPr>
        <w:pStyle w:val="ListParagraph"/>
        <w:numPr>
          <w:ilvl w:val="2"/>
          <w:numId w:val="4"/>
        </w:numPr>
        <w:rPr>
          <w:rFonts w:ascii="Times New Roman" w:hAnsi="Times New Roman" w:cs="Times New Roman"/>
        </w:rPr>
      </w:pPr>
      <w:r>
        <w:rPr>
          <w:rFonts w:ascii="Times New Roman" w:hAnsi="Times New Roman" w:cs="Times New Roman"/>
        </w:rPr>
        <w:lastRenderedPageBreak/>
        <w:t xml:space="preserve">South Bay (Santa Clara County): 12% minimum allocation. </w:t>
      </w:r>
    </w:p>
    <w:p w14:paraId="1D65C3FE" w14:textId="36403824" w:rsidR="006A67EF" w:rsidRPr="00C84416" w:rsidRDefault="006A67EF" w:rsidP="006A67EF">
      <w:pPr>
        <w:pStyle w:val="ListParagraph"/>
        <w:numPr>
          <w:ilvl w:val="1"/>
          <w:numId w:val="4"/>
        </w:numPr>
        <w:rPr>
          <w:rFonts w:ascii="Times New Roman" w:hAnsi="Times New Roman" w:cs="Times New Roman"/>
        </w:rPr>
      </w:pPr>
      <w:r>
        <w:rPr>
          <w:rFonts w:ascii="Times New Roman" w:hAnsi="Times New Roman" w:cs="Times New Roman"/>
        </w:rPr>
        <w:t xml:space="preserve">The remaining 50% of total net revenue shall be allocated consistent with all other provisions of Measure AA. </w:t>
      </w:r>
    </w:p>
    <w:p w14:paraId="67D3D102" w14:textId="3C2BF946" w:rsidR="00C84416" w:rsidRPr="003C74D1" w:rsidRDefault="00DC26BA" w:rsidP="00C84416">
      <w:pPr>
        <w:pStyle w:val="ListParagraph"/>
        <w:numPr>
          <w:ilvl w:val="0"/>
          <w:numId w:val="4"/>
        </w:numPr>
        <w:rPr>
          <w:rFonts w:ascii="Times New Roman" w:hAnsi="Times New Roman" w:cs="Times New Roman"/>
          <w:b/>
        </w:rPr>
      </w:pPr>
      <w:r w:rsidRPr="003C74D1">
        <w:rPr>
          <w:rFonts w:ascii="Times New Roman" w:hAnsi="Times New Roman" w:cs="Times New Roman"/>
          <w:b/>
        </w:rPr>
        <w:t xml:space="preserve">Will a project proposal receive more points the more programs and/or activities it meets? </w:t>
      </w:r>
    </w:p>
    <w:p w14:paraId="7E06C2F9" w14:textId="359C685C" w:rsidR="00DC26BA" w:rsidRDefault="003C74D1" w:rsidP="00DC26BA">
      <w:pPr>
        <w:pStyle w:val="ListParagraph"/>
        <w:numPr>
          <w:ilvl w:val="1"/>
          <w:numId w:val="4"/>
        </w:numPr>
        <w:rPr>
          <w:rFonts w:ascii="Times New Roman" w:hAnsi="Times New Roman" w:cs="Times New Roman"/>
        </w:rPr>
      </w:pPr>
      <w:r>
        <w:rPr>
          <w:rFonts w:ascii="Times New Roman" w:hAnsi="Times New Roman" w:cs="Times New Roman"/>
        </w:rPr>
        <w:t xml:space="preserve">Not necessarily. Projects will be assessed based on both the number of programs and/or activities it meets, as well as the extent to which the proposed project meets these programs and/or activities. </w:t>
      </w:r>
    </w:p>
    <w:p w14:paraId="1D3D97B7" w14:textId="7BDBD94A" w:rsidR="00DC26BA" w:rsidRPr="003C74D1" w:rsidRDefault="00DC26BA" w:rsidP="00C84416">
      <w:pPr>
        <w:pStyle w:val="ListParagraph"/>
        <w:numPr>
          <w:ilvl w:val="0"/>
          <w:numId w:val="4"/>
        </w:numPr>
        <w:rPr>
          <w:rFonts w:ascii="Times New Roman" w:hAnsi="Times New Roman" w:cs="Times New Roman"/>
          <w:b/>
        </w:rPr>
      </w:pPr>
      <w:r w:rsidRPr="003C74D1">
        <w:rPr>
          <w:rFonts w:ascii="Times New Roman" w:hAnsi="Times New Roman" w:cs="Times New Roman"/>
          <w:b/>
        </w:rPr>
        <w:t xml:space="preserve">Do Flood Management and Public Access have to be part of a Habitat Project? </w:t>
      </w:r>
    </w:p>
    <w:p w14:paraId="14D2DF18" w14:textId="26C77FC0" w:rsidR="00DC26BA" w:rsidRDefault="00DC26BA" w:rsidP="00DC26BA">
      <w:pPr>
        <w:pStyle w:val="ListParagraph"/>
        <w:numPr>
          <w:ilvl w:val="1"/>
          <w:numId w:val="4"/>
        </w:numPr>
        <w:rPr>
          <w:rFonts w:ascii="Times New Roman" w:hAnsi="Times New Roman" w:cs="Times New Roman"/>
        </w:rPr>
      </w:pPr>
      <w:r>
        <w:rPr>
          <w:rFonts w:ascii="Times New Roman" w:hAnsi="Times New Roman" w:cs="Times New Roman"/>
        </w:rPr>
        <w:t>Yes, to be eligible, a project that includes flood management and/or public access elements must be part of a habitat project.</w:t>
      </w:r>
      <w:r w:rsidR="007A7B19">
        <w:rPr>
          <w:rFonts w:ascii="Times New Roman" w:hAnsi="Times New Roman" w:cs="Times New Roman"/>
        </w:rPr>
        <w:t xml:space="preserve">  Habitat projects do not necessarily have to have a flood management or public access component though.</w:t>
      </w:r>
    </w:p>
    <w:p w14:paraId="4DCAFADC" w14:textId="053E1F79" w:rsidR="00DC26BA" w:rsidRPr="001C3604" w:rsidRDefault="001C3604" w:rsidP="00DC26BA">
      <w:pPr>
        <w:pStyle w:val="ListParagraph"/>
        <w:numPr>
          <w:ilvl w:val="0"/>
          <w:numId w:val="4"/>
        </w:numPr>
        <w:rPr>
          <w:rFonts w:ascii="Times New Roman" w:hAnsi="Times New Roman" w:cs="Times New Roman"/>
          <w:b/>
        </w:rPr>
      </w:pPr>
      <w:r w:rsidRPr="001C3604">
        <w:rPr>
          <w:rFonts w:ascii="Times New Roman" w:hAnsi="Times New Roman" w:cs="Times New Roman"/>
          <w:b/>
        </w:rPr>
        <w:t xml:space="preserve">Is there a specific timeframe within which granted funds must be spent? </w:t>
      </w:r>
    </w:p>
    <w:p w14:paraId="3B4A063A" w14:textId="48CFB9EE" w:rsidR="001C3604" w:rsidRDefault="001C3604" w:rsidP="001C3604">
      <w:pPr>
        <w:pStyle w:val="ListParagraph"/>
        <w:numPr>
          <w:ilvl w:val="1"/>
          <w:numId w:val="4"/>
        </w:numPr>
        <w:rPr>
          <w:rFonts w:ascii="Times New Roman" w:hAnsi="Times New Roman" w:cs="Times New Roman"/>
        </w:rPr>
      </w:pPr>
      <w:r>
        <w:rPr>
          <w:rFonts w:ascii="Times New Roman" w:hAnsi="Times New Roman" w:cs="Times New Roman"/>
        </w:rPr>
        <w:t xml:space="preserve">In short, no, but prospective grantees should be thinking about phasing projects, and making clear in their proposals what the specific phases of the project area, and for which elements the project proposal is seeking funding. If the proposed project and/or project phase is beyond the 3-5 year time frame, please consult with the Restoration Authority staff by contacting </w:t>
      </w:r>
      <w:hyperlink r:id="rId11" w:history="1">
        <w:r w:rsidRPr="003508D2">
          <w:rPr>
            <w:rStyle w:val="Hyperlink"/>
            <w:rFonts w:ascii="Times New Roman" w:hAnsi="Times New Roman" w:cs="Times New Roman"/>
          </w:rPr>
          <w:t>grants@sfbayrestore.org</w:t>
        </w:r>
      </w:hyperlink>
      <w:r w:rsidR="00C45482">
        <w:rPr>
          <w:rStyle w:val="Hyperlink"/>
          <w:rFonts w:ascii="Times New Roman" w:hAnsi="Times New Roman" w:cs="Times New Roman"/>
        </w:rPr>
        <w:t>.</w:t>
      </w:r>
      <w:r w:rsidR="007A7B19" w:rsidRPr="00A41F1F">
        <w:rPr>
          <w:rStyle w:val="Hyperlink"/>
          <w:rFonts w:ascii="Times New Roman" w:hAnsi="Times New Roman" w:cs="Times New Roman"/>
          <w:color w:val="auto"/>
          <w:u w:val="none"/>
        </w:rPr>
        <w:t xml:space="preserve">  The Authority Board will need to make CEQA findings as a responsible agency when authorizing funds for a project, so CEQA review needs to be completed before a project can be authorized by the Board (project planning is typically exempt from CEQA).</w:t>
      </w:r>
    </w:p>
    <w:p w14:paraId="732CE63A" w14:textId="6656B029" w:rsidR="001C3604" w:rsidRPr="0025723D" w:rsidRDefault="0025723D" w:rsidP="001C3604">
      <w:pPr>
        <w:pStyle w:val="ListParagraph"/>
        <w:numPr>
          <w:ilvl w:val="0"/>
          <w:numId w:val="4"/>
        </w:numPr>
        <w:rPr>
          <w:rFonts w:ascii="Times New Roman" w:hAnsi="Times New Roman" w:cs="Times New Roman"/>
          <w:b/>
        </w:rPr>
      </w:pPr>
      <w:r w:rsidRPr="0025723D">
        <w:rPr>
          <w:rFonts w:ascii="Times New Roman" w:hAnsi="Times New Roman" w:cs="Times New Roman"/>
          <w:b/>
        </w:rPr>
        <w:t xml:space="preserve">How will the Restoration Authority handle </w:t>
      </w:r>
      <w:r w:rsidR="00C45482">
        <w:rPr>
          <w:rFonts w:ascii="Times New Roman" w:hAnsi="Times New Roman" w:cs="Times New Roman"/>
          <w:b/>
        </w:rPr>
        <w:t>permit</w:t>
      </w:r>
      <w:r w:rsidRPr="0025723D">
        <w:rPr>
          <w:rFonts w:ascii="Times New Roman" w:hAnsi="Times New Roman" w:cs="Times New Roman"/>
          <w:b/>
        </w:rPr>
        <w:t xml:space="preserve"> readiness</w:t>
      </w:r>
      <w:r w:rsidR="00C45482">
        <w:rPr>
          <w:rFonts w:ascii="Times New Roman" w:hAnsi="Times New Roman" w:cs="Times New Roman"/>
          <w:b/>
        </w:rPr>
        <w:t xml:space="preserve"> for construction projects</w:t>
      </w:r>
      <w:r w:rsidRPr="0025723D">
        <w:rPr>
          <w:rFonts w:ascii="Times New Roman" w:hAnsi="Times New Roman" w:cs="Times New Roman"/>
          <w:b/>
        </w:rPr>
        <w:t xml:space="preserve">, such as </w:t>
      </w:r>
      <w:r w:rsidR="00C45482">
        <w:rPr>
          <w:rFonts w:ascii="Times New Roman" w:hAnsi="Times New Roman" w:cs="Times New Roman"/>
          <w:b/>
        </w:rPr>
        <w:t xml:space="preserve">with </w:t>
      </w:r>
      <w:r w:rsidRPr="0025723D">
        <w:rPr>
          <w:rFonts w:ascii="Times New Roman" w:hAnsi="Times New Roman" w:cs="Times New Roman"/>
          <w:b/>
        </w:rPr>
        <w:t xml:space="preserve">BCDC, the Army Corps, and the Water Board? </w:t>
      </w:r>
    </w:p>
    <w:p w14:paraId="6C9B07A3" w14:textId="267E22DF" w:rsidR="0025723D" w:rsidRDefault="0025723D" w:rsidP="0025723D">
      <w:pPr>
        <w:pStyle w:val="ListParagraph"/>
        <w:numPr>
          <w:ilvl w:val="1"/>
          <w:numId w:val="4"/>
        </w:numPr>
        <w:rPr>
          <w:rFonts w:ascii="Times New Roman" w:hAnsi="Times New Roman" w:cs="Times New Roman"/>
        </w:rPr>
      </w:pPr>
      <w:r>
        <w:rPr>
          <w:rFonts w:ascii="Times New Roman" w:hAnsi="Times New Roman" w:cs="Times New Roman"/>
        </w:rPr>
        <w:t>Prospective grantees should include information about the timing of permits in their project proposals</w:t>
      </w:r>
      <w:r w:rsidR="00EF082A">
        <w:rPr>
          <w:rFonts w:ascii="Times New Roman" w:hAnsi="Times New Roman" w:cs="Times New Roman"/>
        </w:rPr>
        <w:t xml:space="preserve"> and ensure they have a good handle on the requirements and timeframes of these permits</w:t>
      </w:r>
      <w:r>
        <w:rPr>
          <w:rFonts w:ascii="Times New Roman" w:hAnsi="Times New Roman" w:cs="Times New Roman"/>
        </w:rPr>
        <w:t xml:space="preserve">. These types of permits should be completed in time to begin project implementation within </w:t>
      </w:r>
      <w:r w:rsidR="00C45482">
        <w:rPr>
          <w:rFonts w:ascii="Times New Roman" w:hAnsi="Times New Roman" w:cs="Times New Roman"/>
        </w:rPr>
        <w:t>a reasonable timeframe after</w:t>
      </w:r>
      <w:r>
        <w:rPr>
          <w:rFonts w:ascii="Times New Roman" w:hAnsi="Times New Roman" w:cs="Times New Roman"/>
        </w:rPr>
        <w:t xml:space="preserve"> proposal submittal. </w:t>
      </w:r>
    </w:p>
    <w:p w14:paraId="7BC384B8" w14:textId="7381AB99" w:rsidR="0025723D" w:rsidRPr="00F371E7" w:rsidRDefault="00F371E7" w:rsidP="0025723D">
      <w:pPr>
        <w:pStyle w:val="ListParagraph"/>
        <w:numPr>
          <w:ilvl w:val="0"/>
          <w:numId w:val="4"/>
        </w:numPr>
        <w:rPr>
          <w:rFonts w:ascii="Times New Roman" w:hAnsi="Times New Roman" w:cs="Times New Roman"/>
          <w:b/>
        </w:rPr>
      </w:pPr>
      <w:r w:rsidRPr="00F371E7">
        <w:rPr>
          <w:rFonts w:ascii="Times New Roman" w:hAnsi="Times New Roman" w:cs="Times New Roman"/>
          <w:b/>
        </w:rPr>
        <w:t xml:space="preserve">Is there a matching funds requirement? </w:t>
      </w:r>
    </w:p>
    <w:p w14:paraId="50A107EA" w14:textId="09F59F65" w:rsidR="00F371E7" w:rsidRDefault="00F371E7" w:rsidP="00F371E7">
      <w:pPr>
        <w:pStyle w:val="ListParagraph"/>
        <w:numPr>
          <w:ilvl w:val="1"/>
          <w:numId w:val="4"/>
        </w:numPr>
        <w:rPr>
          <w:rFonts w:ascii="Times New Roman" w:hAnsi="Times New Roman" w:cs="Times New Roman"/>
        </w:rPr>
      </w:pPr>
      <w:r>
        <w:rPr>
          <w:rFonts w:ascii="Times New Roman" w:hAnsi="Times New Roman" w:cs="Times New Roman"/>
        </w:rPr>
        <w:t xml:space="preserve">There is no matching funds requirement, or threshold, but consideration of matching funds is part of proposal evaluation as it is included as part of the proposed project’s leveraging ability, which is a Measure AA priority. </w:t>
      </w:r>
      <w:r w:rsidR="00DD54E6">
        <w:rPr>
          <w:rFonts w:ascii="Times New Roman" w:hAnsi="Times New Roman" w:cs="Times New Roman"/>
        </w:rPr>
        <w:t xml:space="preserve">There is a desire to strongly leverage Authority funds, so this will be considered in proposal evaluations. </w:t>
      </w:r>
      <w:r w:rsidR="00C02FAF">
        <w:rPr>
          <w:rFonts w:ascii="Times New Roman" w:hAnsi="Times New Roman" w:cs="Times New Roman"/>
        </w:rPr>
        <w:t>Secondly, the budget should be clear in terms of which aspects of the project the proponent is requesting funds from the Authority</w:t>
      </w:r>
      <w:r w:rsidR="00C45482">
        <w:rPr>
          <w:rFonts w:ascii="Times New Roman" w:hAnsi="Times New Roman" w:cs="Times New Roman"/>
        </w:rPr>
        <w:t xml:space="preserve"> for, and which will come from other sources</w:t>
      </w:r>
      <w:r w:rsidR="00C02FAF">
        <w:rPr>
          <w:rFonts w:ascii="Times New Roman" w:hAnsi="Times New Roman" w:cs="Times New Roman"/>
        </w:rPr>
        <w:t xml:space="preserve">. </w:t>
      </w:r>
    </w:p>
    <w:p w14:paraId="0823BF43" w14:textId="360C0718" w:rsidR="00F371E7" w:rsidRPr="00F371E7" w:rsidRDefault="00F371E7" w:rsidP="00F371E7">
      <w:pPr>
        <w:pStyle w:val="ListParagraph"/>
        <w:numPr>
          <w:ilvl w:val="0"/>
          <w:numId w:val="4"/>
        </w:numPr>
        <w:rPr>
          <w:rFonts w:ascii="Times New Roman" w:hAnsi="Times New Roman" w:cs="Times New Roman"/>
          <w:b/>
        </w:rPr>
      </w:pPr>
      <w:r w:rsidRPr="00F371E7">
        <w:rPr>
          <w:rFonts w:ascii="Times New Roman" w:hAnsi="Times New Roman" w:cs="Times New Roman"/>
          <w:b/>
        </w:rPr>
        <w:t xml:space="preserve">Are natural or man-made structures considered as part of a habitat enhancement project? </w:t>
      </w:r>
    </w:p>
    <w:p w14:paraId="0678FA91" w14:textId="35A586B4" w:rsidR="00F371E7" w:rsidRDefault="00C45482" w:rsidP="00F371E7">
      <w:pPr>
        <w:pStyle w:val="ListParagraph"/>
        <w:numPr>
          <w:ilvl w:val="1"/>
          <w:numId w:val="4"/>
        </w:numPr>
        <w:rPr>
          <w:rFonts w:ascii="Times New Roman" w:hAnsi="Times New Roman" w:cs="Times New Roman"/>
        </w:rPr>
      </w:pPr>
      <w:r>
        <w:rPr>
          <w:rFonts w:ascii="Times New Roman" w:hAnsi="Times New Roman" w:cs="Times New Roman"/>
        </w:rPr>
        <w:t>Both can be considered part of an enhancement project. T</w:t>
      </w:r>
      <w:r w:rsidR="00F371E7">
        <w:rPr>
          <w:rFonts w:ascii="Times New Roman" w:hAnsi="Times New Roman" w:cs="Times New Roman"/>
        </w:rPr>
        <w:t xml:space="preserve">he Restoration Authority encourages applicants to refer to the </w:t>
      </w:r>
      <w:hyperlink r:id="rId12" w:history="1">
        <w:proofErr w:type="spellStart"/>
        <w:r w:rsidR="00F371E7" w:rsidRPr="006A67EF">
          <w:rPr>
            <w:rStyle w:val="Hyperlink"/>
            <w:rFonts w:ascii="Times New Roman" w:hAnsi="Times New Roman" w:cs="Times New Roman"/>
            <w:i/>
          </w:rPr>
          <w:t>Baylands</w:t>
        </w:r>
        <w:proofErr w:type="spellEnd"/>
        <w:r w:rsidR="00F371E7" w:rsidRPr="006A67EF">
          <w:rPr>
            <w:rStyle w:val="Hyperlink"/>
            <w:rFonts w:ascii="Times New Roman" w:hAnsi="Times New Roman" w:cs="Times New Roman"/>
            <w:i/>
          </w:rPr>
          <w:t xml:space="preserve"> Ecosystem Habitat Goals Science Update</w:t>
        </w:r>
      </w:hyperlink>
      <w:r w:rsidR="00F371E7" w:rsidRPr="006A67EF">
        <w:rPr>
          <w:rFonts w:ascii="Times New Roman" w:hAnsi="Times New Roman" w:cs="Times New Roman"/>
          <w:i/>
        </w:rPr>
        <w:t xml:space="preserve"> </w:t>
      </w:r>
      <w:r w:rsidR="00F371E7" w:rsidRPr="006A67EF">
        <w:rPr>
          <w:rFonts w:ascii="Times New Roman" w:hAnsi="Times New Roman" w:cs="Times New Roman"/>
        </w:rPr>
        <w:t xml:space="preserve">(2015) </w:t>
      </w:r>
      <w:r w:rsidR="00F371E7">
        <w:rPr>
          <w:rFonts w:ascii="Times New Roman" w:hAnsi="Times New Roman" w:cs="Times New Roman"/>
        </w:rPr>
        <w:t xml:space="preserve">and the </w:t>
      </w:r>
      <w:hyperlink r:id="rId13" w:history="1">
        <w:r w:rsidR="00F371E7" w:rsidRPr="006A67EF">
          <w:rPr>
            <w:rStyle w:val="Hyperlink"/>
            <w:rFonts w:ascii="Times New Roman" w:hAnsi="Times New Roman" w:cs="Times New Roman"/>
            <w:i/>
          </w:rPr>
          <w:t>Subtidal Habitat Goals Report</w:t>
        </w:r>
      </w:hyperlink>
      <w:r w:rsidR="00F371E7" w:rsidRPr="006A67EF">
        <w:rPr>
          <w:rFonts w:ascii="Times New Roman" w:hAnsi="Times New Roman" w:cs="Times New Roman"/>
          <w:i/>
        </w:rPr>
        <w:t xml:space="preserve"> </w:t>
      </w:r>
      <w:r w:rsidR="00F371E7">
        <w:rPr>
          <w:rFonts w:ascii="Times New Roman" w:hAnsi="Times New Roman" w:cs="Times New Roman"/>
        </w:rPr>
        <w:t xml:space="preserve">(2010) for principles on habitat enhancement and ecosystem function.  </w:t>
      </w:r>
      <w:r w:rsidR="00DF4DA5">
        <w:rPr>
          <w:rFonts w:ascii="Times New Roman" w:hAnsi="Times New Roman" w:cs="Times New Roman"/>
        </w:rPr>
        <w:t xml:space="preserve">In essence, </w:t>
      </w:r>
      <w:r w:rsidR="00C45C4D">
        <w:rPr>
          <w:rFonts w:ascii="Times New Roman" w:hAnsi="Times New Roman" w:cs="Times New Roman"/>
        </w:rPr>
        <w:t xml:space="preserve">the Authority seeks solutions that will provide clear ecological benefits, and that </w:t>
      </w:r>
      <w:r w:rsidR="00DF4DA5">
        <w:rPr>
          <w:rFonts w:ascii="Times New Roman" w:hAnsi="Times New Roman" w:cs="Times New Roman"/>
        </w:rPr>
        <w:t xml:space="preserve">consider how sustainable </w:t>
      </w:r>
      <w:r w:rsidR="00C45C4D">
        <w:rPr>
          <w:rFonts w:ascii="Times New Roman" w:hAnsi="Times New Roman" w:cs="Times New Roman"/>
        </w:rPr>
        <w:t xml:space="preserve">the solution </w:t>
      </w:r>
      <w:r w:rsidR="00DF4DA5">
        <w:rPr>
          <w:rFonts w:ascii="Times New Roman" w:hAnsi="Times New Roman" w:cs="Times New Roman"/>
        </w:rPr>
        <w:t xml:space="preserve">will be in the long-run and how it will be maintained. </w:t>
      </w:r>
    </w:p>
    <w:p w14:paraId="4B150927" w14:textId="3444028E" w:rsidR="00F371E7" w:rsidRPr="006033CA" w:rsidRDefault="006033CA" w:rsidP="00F371E7">
      <w:pPr>
        <w:pStyle w:val="ListParagraph"/>
        <w:numPr>
          <w:ilvl w:val="0"/>
          <w:numId w:val="4"/>
        </w:numPr>
        <w:rPr>
          <w:rFonts w:ascii="Times New Roman" w:hAnsi="Times New Roman" w:cs="Times New Roman"/>
          <w:b/>
        </w:rPr>
      </w:pPr>
      <w:r w:rsidRPr="006033CA">
        <w:rPr>
          <w:rFonts w:ascii="Times New Roman" w:hAnsi="Times New Roman" w:cs="Times New Roman"/>
          <w:b/>
        </w:rPr>
        <w:t xml:space="preserve">Is the PLA </w:t>
      </w:r>
      <w:r w:rsidR="00C45C4D">
        <w:rPr>
          <w:rFonts w:ascii="Times New Roman" w:hAnsi="Times New Roman" w:cs="Times New Roman"/>
          <w:b/>
        </w:rPr>
        <w:t xml:space="preserve">10% </w:t>
      </w:r>
      <w:r w:rsidRPr="006033CA">
        <w:rPr>
          <w:rFonts w:ascii="Times New Roman" w:hAnsi="Times New Roman" w:cs="Times New Roman"/>
          <w:b/>
        </w:rPr>
        <w:t xml:space="preserve">Requirement for the total project cost? </w:t>
      </w:r>
    </w:p>
    <w:p w14:paraId="43555793" w14:textId="5759596D" w:rsidR="006033CA" w:rsidRDefault="006033CA" w:rsidP="006033CA">
      <w:pPr>
        <w:pStyle w:val="ListParagraph"/>
        <w:numPr>
          <w:ilvl w:val="1"/>
          <w:numId w:val="4"/>
        </w:numPr>
        <w:rPr>
          <w:rFonts w:ascii="Times New Roman" w:hAnsi="Times New Roman" w:cs="Times New Roman"/>
        </w:rPr>
      </w:pPr>
      <w:r>
        <w:rPr>
          <w:rFonts w:ascii="Times New Roman" w:hAnsi="Times New Roman" w:cs="Times New Roman"/>
        </w:rPr>
        <w:t xml:space="preserve">Yes. The PLA requirement </w:t>
      </w:r>
      <w:r w:rsidR="00C45C4D">
        <w:rPr>
          <w:rFonts w:ascii="Times New Roman" w:hAnsi="Times New Roman" w:cs="Times New Roman"/>
        </w:rPr>
        <w:t xml:space="preserve">threshold of 10% </w:t>
      </w:r>
      <w:r>
        <w:rPr>
          <w:rFonts w:ascii="Times New Roman" w:hAnsi="Times New Roman" w:cs="Times New Roman"/>
        </w:rPr>
        <w:t xml:space="preserve">refers to the total project cost, and not just for the amount requested from the Restoration Authority.  </w:t>
      </w:r>
    </w:p>
    <w:p w14:paraId="19C891B4" w14:textId="77777777" w:rsidR="002C647D" w:rsidRDefault="002C647D" w:rsidP="002C647D">
      <w:pPr>
        <w:pStyle w:val="ListParagraph"/>
        <w:ind w:left="1440"/>
        <w:rPr>
          <w:rFonts w:ascii="Times New Roman" w:hAnsi="Times New Roman" w:cs="Times New Roman"/>
        </w:rPr>
      </w:pPr>
    </w:p>
    <w:p w14:paraId="624E71BB" w14:textId="0802BD9E" w:rsidR="006033CA" w:rsidRPr="006033CA" w:rsidRDefault="006033CA" w:rsidP="006033CA">
      <w:pPr>
        <w:pStyle w:val="ListParagraph"/>
        <w:numPr>
          <w:ilvl w:val="0"/>
          <w:numId w:val="4"/>
        </w:numPr>
        <w:rPr>
          <w:rFonts w:ascii="Times New Roman" w:hAnsi="Times New Roman" w:cs="Times New Roman"/>
          <w:b/>
        </w:rPr>
      </w:pPr>
      <w:r w:rsidRPr="006033CA">
        <w:rPr>
          <w:rFonts w:ascii="Times New Roman" w:hAnsi="Times New Roman" w:cs="Times New Roman"/>
          <w:b/>
        </w:rPr>
        <w:t xml:space="preserve">Will the Authority be able to fund a lesser amount than what is proposed? For example, if we submit a proposal for $1 million, is it possible the Authority may only fund $500,000? </w:t>
      </w:r>
    </w:p>
    <w:p w14:paraId="6C3113C3" w14:textId="636AF347" w:rsidR="006033CA" w:rsidRDefault="006033CA" w:rsidP="006033CA">
      <w:pPr>
        <w:pStyle w:val="ListParagraph"/>
        <w:numPr>
          <w:ilvl w:val="1"/>
          <w:numId w:val="4"/>
        </w:numPr>
        <w:rPr>
          <w:rFonts w:ascii="Times New Roman" w:hAnsi="Times New Roman" w:cs="Times New Roman"/>
        </w:rPr>
      </w:pPr>
      <w:r>
        <w:rPr>
          <w:rFonts w:ascii="Times New Roman" w:hAnsi="Times New Roman" w:cs="Times New Roman"/>
        </w:rPr>
        <w:lastRenderedPageBreak/>
        <w:t xml:space="preserve">Yes, the Authority may consider partial awards for those proposals for which the Authority is unable to fund the full amount requested. </w:t>
      </w:r>
    </w:p>
    <w:p w14:paraId="1903DA37" w14:textId="1E269F70" w:rsidR="006033CA" w:rsidRPr="006033CA" w:rsidRDefault="006033CA" w:rsidP="006033CA">
      <w:pPr>
        <w:pStyle w:val="ListParagraph"/>
        <w:numPr>
          <w:ilvl w:val="0"/>
          <w:numId w:val="4"/>
        </w:numPr>
        <w:rPr>
          <w:rFonts w:ascii="Times New Roman" w:hAnsi="Times New Roman" w:cs="Times New Roman"/>
          <w:b/>
        </w:rPr>
      </w:pPr>
      <w:r w:rsidRPr="006033CA">
        <w:rPr>
          <w:rFonts w:ascii="Times New Roman" w:hAnsi="Times New Roman" w:cs="Times New Roman"/>
          <w:b/>
        </w:rPr>
        <w:t xml:space="preserve">Is there a limit on the number of proposals an institution or individual could submit? </w:t>
      </w:r>
    </w:p>
    <w:p w14:paraId="1F790E7F" w14:textId="0E66EC07" w:rsidR="006033CA" w:rsidRPr="00C84416" w:rsidRDefault="006033CA" w:rsidP="006033CA">
      <w:pPr>
        <w:pStyle w:val="ListParagraph"/>
        <w:numPr>
          <w:ilvl w:val="1"/>
          <w:numId w:val="4"/>
        </w:numPr>
        <w:rPr>
          <w:rFonts w:ascii="Times New Roman" w:hAnsi="Times New Roman" w:cs="Times New Roman"/>
        </w:rPr>
      </w:pPr>
      <w:r>
        <w:rPr>
          <w:rFonts w:ascii="Times New Roman" w:hAnsi="Times New Roman" w:cs="Times New Roman"/>
        </w:rPr>
        <w:t xml:space="preserve">No. </w:t>
      </w:r>
    </w:p>
    <w:sectPr w:rsidR="006033CA" w:rsidRPr="00C844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9BE5" w14:textId="77777777" w:rsidR="00841A04" w:rsidRDefault="00841A04" w:rsidP="00841A04">
      <w:pPr>
        <w:spacing w:after="0" w:line="240" w:lineRule="auto"/>
      </w:pPr>
      <w:r>
        <w:separator/>
      </w:r>
    </w:p>
  </w:endnote>
  <w:endnote w:type="continuationSeparator" w:id="0">
    <w:p w14:paraId="57E87BBF" w14:textId="77777777" w:rsidR="00841A04" w:rsidRDefault="00841A04" w:rsidP="0084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8D12" w14:textId="77777777" w:rsidR="00C57BED" w:rsidRDefault="00C57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86369"/>
      <w:docPartObj>
        <w:docPartGallery w:val="Page Numbers (Bottom of Page)"/>
        <w:docPartUnique/>
      </w:docPartObj>
    </w:sdtPr>
    <w:sdtEndPr>
      <w:rPr>
        <w:noProof/>
      </w:rPr>
    </w:sdtEndPr>
    <w:sdtContent>
      <w:p w14:paraId="25FAF0D3" w14:textId="37593FEC" w:rsidR="00841A04" w:rsidRDefault="00841A04">
        <w:pPr>
          <w:pStyle w:val="Footer"/>
          <w:jc w:val="right"/>
        </w:pPr>
        <w:r>
          <w:fldChar w:fldCharType="begin"/>
        </w:r>
        <w:r>
          <w:instrText xml:space="preserve"> PAGE   \* MERGEFORMAT </w:instrText>
        </w:r>
        <w:r>
          <w:fldChar w:fldCharType="separate"/>
        </w:r>
        <w:r w:rsidR="00BB4D37">
          <w:rPr>
            <w:noProof/>
          </w:rPr>
          <w:t>3</w:t>
        </w:r>
        <w:r>
          <w:rPr>
            <w:noProof/>
          </w:rPr>
          <w:fldChar w:fldCharType="end"/>
        </w:r>
      </w:p>
    </w:sdtContent>
  </w:sdt>
  <w:p w14:paraId="5B68099A" w14:textId="77777777" w:rsidR="00841A04" w:rsidRDefault="00841A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2B62" w14:textId="77777777" w:rsidR="00C57BED" w:rsidRDefault="00C57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25E1" w14:textId="77777777" w:rsidR="00841A04" w:rsidRDefault="00841A04" w:rsidP="00841A04">
      <w:pPr>
        <w:spacing w:after="0" w:line="240" w:lineRule="auto"/>
      </w:pPr>
      <w:r>
        <w:separator/>
      </w:r>
    </w:p>
  </w:footnote>
  <w:footnote w:type="continuationSeparator" w:id="0">
    <w:p w14:paraId="6D004CE9" w14:textId="77777777" w:rsidR="00841A04" w:rsidRDefault="00841A04" w:rsidP="0084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EC26" w14:textId="77777777" w:rsidR="00C57BED" w:rsidRDefault="00C57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FD68" w14:textId="4528FBC4" w:rsidR="00C57BED" w:rsidRDefault="00C57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76B8" w14:textId="77777777" w:rsidR="00C57BED" w:rsidRDefault="00C57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1401"/>
    <w:multiLevelType w:val="hybridMultilevel"/>
    <w:tmpl w:val="1DC8E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A6C4E"/>
    <w:multiLevelType w:val="hybridMultilevel"/>
    <w:tmpl w:val="91D8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7600C"/>
    <w:multiLevelType w:val="hybridMultilevel"/>
    <w:tmpl w:val="CC72CAAE"/>
    <w:lvl w:ilvl="0" w:tplc="002A8C84">
      <w:start w:val="1"/>
      <w:numFmt w:val="bullet"/>
      <w:lvlText w:val="•"/>
      <w:lvlJc w:val="left"/>
      <w:pPr>
        <w:tabs>
          <w:tab w:val="num" w:pos="720"/>
        </w:tabs>
        <w:ind w:left="720" w:hanging="360"/>
      </w:pPr>
      <w:rPr>
        <w:rFonts w:ascii="Arial" w:hAnsi="Arial" w:hint="default"/>
      </w:rPr>
    </w:lvl>
    <w:lvl w:ilvl="1" w:tplc="496C1B26">
      <w:start w:val="1"/>
      <w:numFmt w:val="bullet"/>
      <w:lvlText w:val="•"/>
      <w:lvlJc w:val="left"/>
      <w:pPr>
        <w:tabs>
          <w:tab w:val="num" w:pos="1440"/>
        </w:tabs>
        <w:ind w:left="1440" w:hanging="360"/>
      </w:pPr>
      <w:rPr>
        <w:rFonts w:ascii="Arial" w:hAnsi="Arial" w:hint="default"/>
      </w:rPr>
    </w:lvl>
    <w:lvl w:ilvl="2" w:tplc="D40A14EE" w:tentative="1">
      <w:start w:val="1"/>
      <w:numFmt w:val="bullet"/>
      <w:lvlText w:val="•"/>
      <w:lvlJc w:val="left"/>
      <w:pPr>
        <w:tabs>
          <w:tab w:val="num" w:pos="2160"/>
        </w:tabs>
        <w:ind w:left="2160" w:hanging="360"/>
      </w:pPr>
      <w:rPr>
        <w:rFonts w:ascii="Arial" w:hAnsi="Arial" w:hint="default"/>
      </w:rPr>
    </w:lvl>
    <w:lvl w:ilvl="3" w:tplc="33E41F86" w:tentative="1">
      <w:start w:val="1"/>
      <w:numFmt w:val="bullet"/>
      <w:lvlText w:val="•"/>
      <w:lvlJc w:val="left"/>
      <w:pPr>
        <w:tabs>
          <w:tab w:val="num" w:pos="2880"/>
        </w:tabs>
        <w:ind w:left="2880" w:hanging="360"/>
      </w:pPr>
      <w:rPr>
        <w:rFonts w:ascii="Arial" w:hAnsi="Arial" w:hint="default"/>
      </w:rPr>
    </w:lvl>
    <w:lvl w:ilvl="4" w:tplc="BA9C82A8" w:tentative="1">
      <w:start w:val="1"/>
      <w:numFmt w:val="bullet"/>
      <w:lvlText w:val="•"/>
      <w:lvlJc w:val="left"/>
      <w:pPr>
        <w:tabs>
          <w:tab w:val="num" w:pos="3600"/>
        </w:tabs>
        <w:ind w:left="3600" w:hanging="360"/>
      </w:pPr>
      <w:rPr>
        <w:rFonts w:ascii="Arial" w:hAnsi="Arial" w:hint="default"/>
      </w:rPr>
    </w:lvl>
    <w:lvl w:ilvl="5" w:tplc="F98C15CC" w:tentative="1">
      <w:start w:val="1"/>
      <w:numFmt w:val="bullet"/>
      <w:lvlText w:val="•"/>
      <w:lvlJc w:val="left"/>
      <w:pPr>
        <w:tabs>
          <w:tab w:val="num" w:pos="4320"/>
        </w:tabs>
        <w:ind w:left="4320" w:hanging="360"/>
      </w:pPr>
      <w:rPr>
        <w:rFonts w:ascii="Arial" w:hAnsi="Arial" w:hint="default"/>
      </w:rPr>
    </w:lvl>
    <w:lvl w:ilvl="6" w:tplc="89B0CED6" w:tentative="1">
      <w:start w:val="1"/>
      <w:numFmt w:val="bullet"/>
      <w:lvlText w:val="•"/>
      <w:lvlJc w:val="left"/>
      <w:pPr>
        <w:tabs>
          <w:tab w:val="num" w:pos="5040"/>
        </w:tabs>
        <w:ind w:left="5040" w:hanging="360"/>
      </w:pPr>
      <w:rPr>
        <w:rFonts w:ascii="Arial" w:hAnsi="Arial" w:hint="default"/>
      </w:rPr>
    </w:lvl>
    <w:lvl w:ilvl="7" w:tplc="A7921D34" w:tentative="1">
      <w:start w:val="1"/>
      <w:numFmt w:val="bullet"/>
      <w:lvlText w:val="•"/>
      <w:lvlJc w:val="left"/>
      <w:pPr>
        <w:tabs>
          <w:tab w:val="num" w:pos="5760"/>
        </w:tabs>
        <w:ind w:left="5760" w:hanging="360"/>
      </w:pPr>
      <w:rPr>
        <w:rFonts w:ascii="Arial" w:hAnsi="Arial" w:hint="default"/>
      </w:rPr>
    </w:lvl>
    <w:lvl w:ilvl="8" w:tplc="AFCCDC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3729B9"/>
    <w:multiLevelType w:val="hybridMultilevel"/>
    <w:tmpl w:val="9F3647C8"/>
    <w:lvl w:ilvl="0" w:tplc="1CAAE668">
      <w:start w:val="1"/>
      <w:numFmt w:val="bullet"/>
      <w:lvlText w:val="•"/>
      <w:lvlJc w:val="left"/>
      <w:pPr>
        <w:tabs>
          <w:tab w:val="num" w:pos="720"/>
        </w:tabs>
        <w:ind w:left="720" w:hanging="360"/>
      </w:pPr>
      <w:rPr>
        <w:rFonts w:ascii="Arial" w:hAnsi="Arial" w:hint="default"/>
      </w:rPr>
    </w:lvl>
    <w:lvl w:ilvl="1" w:tplc="E9FCF70E">
      <w:numFmt w:val="bullet"/>
      <w:lvlText w:val="•"/>
      <w:lvlJc w:val="left"/>
      <w:pPr>
        <w:tabs>
          <w:tab w:val="num" w:pos="1440"/>
        </w:tabs>
        <w:ind w:left="1440" w:hanging="360"/>
      </w:pPr>
      <w:rPr>
        <w:rFonts w:ascii="Arial" w:hAnsi="Arial" w:hint="default"/>
      </w:rPr>
    </w:lvl>
    <w:lvl w:ilvl="2" w:tplc="880EFDA8" w:tentative="1">
      <w:start w:val="1"/>
      <w:numFmt w:val="bullet"/>
      <w:lvlText w:val="•"/>
      <w:lvlJc w:val="left"/>
      <w:pPr>
        <w:tabs>
          <w:tab w:val="num" w:pos="2160"/>
        </w:tabs>
        <w:ind w:left="2160" w:hanging="360"/>
      </w:pPr>
      <w:rPr>
        <w:rFonts w:ascii="Arial" w:hAnsi="Arial" w:hint="default"/>
      </w:rPr>
    </w:lvl>
    <w:lvl w:ilvl="3" w:tplc="C088A57E" w:tentative="1">
      <w:start w:val="1"/>
      <w:numFmt w:val="bullet"/>
      <w:lvlText w:val="•"/>
      <w:lvlJc w:val="left"/>
      <w:pPr>
        <w:tabs>
          <w:tab w:val="num" w:pos="2880"/>
        </w:tabs>
        <w:ind w:left="2880" w:hanging="360"/>
      </w:pPr>
      <w:rPr>
        <w:rFonts w:ascii="Arial" w:hAnsi="Arial" w:hint="default"/>
      </w:rPr>
    </w:lvl>
    <w:lvl w:ilvl="4" w:tplc="72BAE6F4" w:tentative="1">
      <w:start w:val="1"/>
      <w:numFmt w:val="bullet"/>
      <w:lvlText w:val="•"/>
      <w:lvlJc w:val="left"/>
      <w:pPr>
        <w:tabs>
          <w:tab w:val="num" w:pos="3600"/>
        </w:tabs>
        <w:ind w:left="3600" w:hanging="360"/>
      </w:pPr>
      <w:rPr>
        <w:rFonts w:ascii="Arial" w:hAnsi="Arial" w:hint="default"/>
      </w:rPr>
    </w:lvl>
    <w:lvl w:ilvl="5" w:tplc="C0702124" w:tentative="1">
      <w:start w:val="1"/>
      <w:numFmt w:val="bullet"/>
      <w:lvlText w:val="•"/>
      <w:lvlJc w:val="left"/>
      <w:pPr>
        <w:tabs>
          <w:tab w:val="num" w:pos="4320"/>
        </w:tabs>
        <w:ind w:left="4320" w:hanging="360"/>
      </w:pPr>
      <w:rPr>
        <w:rFonts w:ascii="Arial" w:hAnsi="Arial" w:hint="default"/>
      </w:rPr>
    </w:lvl>
    <w:lvl w:ilvl="6" w:tplc="DF844A2A" w:tentative="1">
      <w:start w:val="1"/>
      <w:numFmt w:val="bullet"/>
      <w:lvlText w:val="•"/>
      <w:lvlJc w:val="left"/>
      <w:pPr>
        <w:tabs>
          <w:tab w:val="num" w:pos="5040"/>
        </w:tabs>
        <w:ind w:left="5040" w:hanging="360"/>
      </w:pPr>
      <w:rPr>
        <w:rFonts w:ascii="Arial" w:hAnsi="Arial" w:hint="default"/>
      </w:rPr>
    </w:lvl>
    <w:lvl w:ilvl="7" w:tplc="B25E53F6" w:tentative="1">
      <w:start w:val="1"/>
      <w:numFmt w:val="bullet"/>
      <w:lvlText w:val="•"/>
      <w:lvlJc w:val="left"/>
      <w:pPr>
        <w:tabs>
          <w:tab w:val="num" w:pos="5760"/>
        </w:tabs>
        <w:ind w:left="5760" w:hanging="360"/>
      </w:pPr>
      <w:rPr>
        <w:rFonts w:ascii="Arial" w:hAnsi="Arial" w:hint="default"/>
      </w:rPr>
    </w:lvl>
    <w:lvl w:ilvl="8" w:tplc="9B70C0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AC"/>
    <w:rsid w:val="001C3604"/>
    <w:rsid w:val="0025723D"/>
    <w:rsid w:val="00263EE5"/>
    <w:rsid w:val="002A35FD"/>
    <w:rsid w:val="002B0E65"/>
    <w:rsid w:val="002B4BAF"/>
    <w:rsid w:val="002C647D"/>
    <w:rsid w:val="003B5B6F"/>
    <w:rsid w:val="003C74D1"/>
    <w:rsid w:val="00457AA1"/>
    <w:rsid w:val="00542BFF"/>
    <w:rsid w:val="006033CA"/>
    <w:rsid w:val="006311AC"/>
    <w:rsid w:val="006A67EF"/>
    <w:rsid w:val="007A7B19"/>
    <w:rsid w:val="00841A04"/>
    <w:rsid w:val="009C36E2"/>
    <w:rsid w:val="009D7329"/>
    <w:rsid w:val="00A41F1F"/>
    <w:rsid w:val="00BB4D37"/>
    <w:rsid w:val="00C02FAF"/>
    <w:rsid w:val="00C45482"/>
    <w:rsid w:val="00C45C4D"/>
    <w:rsid w:val="00C57BED"/>
    <w:rsid w:val="00C84416"/>
    <w:rsid w:val="00DC26BA"/>
    <w:rsid w:val="00DD54E6"/>
    <w:rsid w:val="00DF4DA5"/>
    <w:rsid w:val="00E30D4B"/>
    <w:rsid w:val="00EF082A"/>
    <w:rsid w:val="00F002E1"/>
    <w:rsid w:val="00F371E7"/>
    <w:rsid w:val="00F5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A3994"/>
  <w15:chartTrackingRefBased/>
  <w15:docId w15:val="{0B69BA12-A338-4238-B1E1-9334ED60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AC"/>
    <w:pPr>
      <w:ind w:left="720"/>
      <w:contextualSpacing/>
    </w:pPr>
  </w:style>
  <w:style w:type="character" w:styleId="CommentReference">
    <w:name w:val="annotation reference"/>
    <w:basedOn w:val="DefaultParagraphFont"/>
    <w:uiPriority w:val="99"/>
    <w:semiHidden/>
    <w:unhideWhenUsed/>
    <w:rsid w:val="00F51BEA"/>
    <w:rPr>
      <w:sz w:val="16"/>
      <w:szCs w:val="16"/>
    </w:rPr>
  </w:style>
  <w:style w:type="paragraph" w:styleId="CommentText">
    <w:name w:val="annotation text"/>
    <w:basedOn w:val="Normal"/>
    <w:link w:val="CommentTextChar"/>
    <w:uiPriority w:val="99"/>
    <w:semiHidden/>
    <w:unhideWhenUsed/>
    <w:rsid w:val="00F51BEA"/>
    <w:pPr>
      <w:spacing w:line="240" w:lineRule="auto"/>
    </w:pPr>
    <w:rPr>
      <w:sz w:val="20"/>
      <w:szCs w:val="20"/>
    </w:rPr>
  </w:style>
  <w:style w:type="character" w:customStyle="1" w:styleId="CommentTextChar">
    <w:name w:val="Comment Text Char"/>
    <w:basedOn w:val="DefaultParagraphFont"/>
    <w:link w:val="CommentText"/>
    <w:uiPriority w:val="99"/>
    <w:semiHidden/>
    <w:rsid w:val="00F51BEA"/>
    <w:rPr>
      <w:sz w:val="20"/>
      <w:szCs w:val="20"/>
    </w:rPr>
  </w:style>
  <w:style w:type="paragraph" w:styleId="CommentSubject">
    <w:name w:val="annotation subject"/>
    <w:basedOn w:val="CommentText"/>
    <w:next w:val="CommentText"/>
    <w:link w:val="CommentSubjectChar"/>
    <w:uiPriority w:val="99"/>
    <w:semiHidden/>
    <w:unhideWhenUsed/>
    <w:rsid w:val="00F51BEA"/>
    <w:rPr>
      <w:b/>
      <w:bCs/>
    </w:rPr>
  </w:style>
  <w:style w:type="character" w:customStyle="1" w:styleId="CommentSubjectChar">
    <w:name w:val="Comment Subject Char"/>
    <w:basedOn w:val="CommentTextChar"/>
    <w:link w:val="CommentSubject"/>
    <w:uiPriority w:val="99"/>
    <w:semiHidden/>
    <w:rsid w:val="00F51BEA"/>
    <w:rPr>
      <w:b/>
      <w:bCs/>
      <w:sz w:val="20"/>
      <w:szCs w:val="20"/>
    </w:rPr>
  </w:style>
  <w:style w:type="paragraph" w:styleId="BalloonText">
    <w:name w:val="Balloon Text"/>
    <w:basedOn w:val="Normal"/>
    <w:link w:val="BalloonTextChar"/>
    <w:uiPriority w:val="99"/>
    <w:semiHidden/>
    <w:unhideWhenUsed/>
    <w:rsid w:val="00F5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EA"/>
    <w:rPr>
      <w:rFonts w:ascii="Segoe UI" w:hAnsi="Segoe UI" w:cs="Segoe UI"/>
      <w:sz w:val="18"/>
      <w:szCs w:val="18"/>
    </w:rPr>
  </w:style>
  <w:style w:type="character" w:styleId="Hyperlink">
    <w:name w:val="Hyperlink"/>
    <w:basedOn w:val="DefaultParagraphFont"/>
    <w:uiPriority w:val="99"/>
    <w:unhideWhenUsed/>
    <w:rsid w:val="00C84416"/>
    <w:rPr>
      <w:color w:val="0563C1" w:themeColor="hyperlink"/>
      <w:u w:val="single"/>
    </w:rPr>
  </w:style>
  <w:style w:type="paragraph" w:styleId="Header">
    <w:name w:val="header"/>
    <w:basedOn w:val="Normal"/>
    <w:link w:val="HeaderChar"/>
    <w:uiPriority w:val="99"/>
    <w:unhideWhenUsed/>
    <w:rsid w:val="0084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04"/>
  </w:style>
  <w:style w:type="paragraph" w:styleId="Footer">
    <w:name w:val="footer"/>
    <w:basedOn w:val="Normal"/>
    <w:link w:val="FooterChar"/>
    <w:uiPriority w:val="99"/>
    <w:unhideWhenUsed/>
    <w:rsid w:val="0084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753">
      <w:bodyDiv w:val="1"/>
      <w:marLeft w:val="0"/>
      <w:marRight w:val="0"/>
      <w:marTop w:val="0"/>
      <w:marBottom w:val="0"/>
      <w:divBdr>
        <w:top w:val="none" w:sz="0" w:space="0" w:color="auto"/>
        <w:left w:val="none" w:sz="0" w:space="0" w:color="auto"/>
        <w:bottom w:val="none" w:sz="0" w:space="0" w:color="auto"/>
        <w:right w:val="none" w:sz="0" w:space="0" w:color="auto"/>
      </w:divBdr>
    </w:div>
    <w:div w:id="824053116">
      <w:bodyDiv w:val="1"/>
      <w:marLeft w:val="0"/>
      <w:marRight w:val="0"/>
      <w:marTop w:val="0"/>
      <w:marBottom w:val="0"/>
      <w:divBdr>
        <w:top w:val="none" w:sz="0" w:space="0" w:color="auto"/>
        <w:left w:val="none" w:sz="0" w:space="0" w:color="auto"/>
        <w:bottom w:val="none" w:sz="0" w:space="0" w:color="auto"/>
        <w:right w:val="none" w:sz="0" w:space="0" w:color="auto"/>
      </w:divBdr>
      <w:divsChild>
        <w:div w:id="1819152950">
          <w:marLeft w:val="994"/>
          <w:marRight w:val="0"/>
          <w:marTop w:val="0"/>
          <w:marBottom w:val="0"/>
          <w:divBdr>
            <w:top w:val="none" w:sz="0" w:space="0" w:color="auto"/>
            <w:left w:val="none" w:sz="0" w:space="0" w:color="auto"/>
            <w:bottom w:val="none" w:sz="0" w:space="0" w:color="auto"/>
            <w:right w:val="none" w:sz="0" w:space="0" w:color="auto"/>
          </w:divBdr>
        </w:div>
      </w:divsChild>
    </w:div>
    <w:div w:id="1021664290">
      <w:bodyDiv w:val="1"/>
      <w:marLeft w:val="0"/>
      <w:marRight w:val="0"/>
      <w:marTop w:val="0"/>
      <w:marBottom w:val="0"/>
      <w:divBdr>
        <w:top w:val="none" w:sz="0" w:space="0" w:color="auto"/>
        <w:left w:val="none" w:sz="0" w:space="0" w:color="auto"/>
        <w:bottom w:val="none" w:sz="0" w:space="0" w:color="auto"/>
        <w:right w:val="none" w:sz="0" w:space="0" w:color="auto"/>
      </w:divBdr>
      <w:divsChild>
        <w:div w:id="1670477917">
          <w:marLeft w:val="274"/>
          <w:marRight w:val="0"/>
          <w:marTop w:val="0"/>
          <w:marBottom w:val="0"/>
          <w:divBdr>
            <w:top w:val="none" w:sz="0" w:space="0" w:color="auto"/>
            <w:left w:val="none" w:sz="0" w:space="0" w:color="auto"/>
            <w:bottom w:val="none" w:sz="0" w:space="0" w:color="auto"/>
            <w:right w:val="none" w:sz="0" w:space="0" w:color="auto"/>
          </w:divBdr>
        </w:div>
        <w:div w:id="2076003498">
          <w:marLeft w:val="994"/>
          <w:marRight w:val="0"/>
          <w:marTop w:val="0"/>
          <w:marBottom w:val="0"/>
          <w:divBdr>
            <w:top w:val="none" w:sz="0" w:space="0" w:color="auto"/>
            <w:left w:val="none" w:sz="0" w:space="0" w:color="auto"/>
            <w:bottom w:val="none" w:sz="0" w:space="0" w:color="auto"/>
            <w:right w:val="none" w:sz="0" w:space="0" w:color="auto"/>
          </w:divBdr>
        </w:div>
        <w:div w:id="1482961418">
          <w:marLeft w:val="994"/>
          <w:marRight w:val="0"/>
          <w:marTop w:val="0"/>
          <w:marBottom w:val="0"/>
          <w:divBdr>
            <w:top w:val="none" w:sz="0" w:space="0" w:color="auto"/>
            <w:left w:val="none" w:sz="0" w:space="0" w:color="auto"/>
            <w:bottom w:val="none" w:sz="0" w:space="0" w:color="auto"/>
            <w:right w:val="none" w:sz="0" w:space="0" w:color="auto"/>
          </w:divBdr>
        </w:div>
        <w:div w:id="137353319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baysubtidal.org/report.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ylandsgoa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sfbayrestor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fbaysubtidal.org/repor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ylandsgoa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0B63-C713-432A-80A6-35D7CBFE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Malinowski, Kelly@SCC</dc:creator>
  <cp:keywords/>
  <dc:description/>
  <cp:lastModifiedBy>Malinowski, Kelly@SCC</cp:lastModifiedBy>
  <cp:revision>3</cp:revision>
  <dcterms:created xsi:type="dcterms:W3CDTF">2018-09-05T18:17:00Z</dcterms:created>
  <dcterms:modified xsi:type="dcterms:W3CDTF">2018-09-05T18:17:00Z</dcterms:modified>
</cp:coreProperties>
</file>